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7F" w:rsidRPr="00380754" w:rsidRDefault="001E6E7F" w:rsidP="001E6E7F">
      <w:pPr>
        <w:ind w:right="566"/>
        <w:jc w:val="right"/>
        <w:outlineLvl w:val="1"/>
        <w:rPr>
          <w:rFonts w:eastAsia="Calibri"/>
          <w:sz w:val="24"/>
          <w:szCs w:val="20"/>
          <w:lang w:eastAsia="en-US"/>
        </w:rPr>
      </w:pPr>
      <w:bookmarkStart w:id="0" w:name="_GoBack"/>
      <w:bookmarkEnd w:id="0"/>
      <w:r w:rsidRPr="00380754">
        <w:rPr>
          <w:rFonts w:eastAsia="Calibri"/>
          <w:sz w:val="24"/>
          <w:szCs w:val="20"/>
          <w:lang w:eastAsia="en-US"/>
        </w:rPr>
        <w:t xml:space="preserve">Приложение 1  к письму комитета </w:t>
      </w:r>
    </w:p>
    <w:p w:rsidR="001E6E7F" w:rsidRPr="00380754" w:rsidRDefault="001E6E7F" w:rsidP="001E6E7F">
      <w:pPr>
        <w:ind w:right="566"/>
        <w:jc w:val="right"/>
        <w:outlineLvl w:val="1"/>
        <w:rPr>
          <w:rFonts w:eastAsia="Calibri"/>
          <w:sz w:val="24"/>
          <w:szCs w:val="20"/>
          <w:lang w:eastAsia="en-US"/>
        </w:rPr>
      </w:pPr>
      <w:r w:rsidRPr="00380754">
        <w:rPr>
          <w:rFonts w:eastAsia="Calibri"/>
          <w:sz w:val="24"/>
          <w:szCs w:val="20"/>
          <w:lang w:eastAsia="en-US"/>
        </w:rPr>
        <w:t xml:space="preserve">общего и профессионального образования </w:t>
      </w:r>
    </w:p>
    <w:p w:rsidR="001E6E7F" w:rsidRPr="00380754" w:rsidRDefault="001E6E7F" w:rsidP="001E6E7F">
      <w:pPr>
        <w:ind w:right="566"/>
        <w:jc w:val="right"/>
        <w:outlineLvl w:val="1"/>
        <w:rPr>
          <w:rFonts w:eastAsia="Calibri"/>
          <w:sz w:val="24"/>
          <w:szCs w:val="20"/>
          <w:lang w:eastAsia="en-US"/>
        </w:rPr>
      </w:pPr>
      <w:r w:rsidRPr="00380754">
        <w:rPr>
          <w:rFonts w:eastAsia="Calibri"/>
          <w:sz w:val="24"/>
          <w:szCs w:val="20"/>
          <w:lang w:eastAsia="en-US"/>
        </w:rPr>
        <w:t>Ленинградской области</w:t>
      </w:r>
    </w:p>
    <w:p w:rsidR="001E6E7F" w:rsidRDefault="001E6E7F" w:rsidP="001E6E7F">
      <w:pPr>
        <w:ind w:right="566"/>
        <w:jc w:val="right"/>
        <w:outlineLvl w:val="1"/>
        <w:rPr>
          <w:rFonts w:eastAsia="Calibri"/>
          <w:sz w:val="24"/>
          <w:szCs w:val="20"/>
          <w:lang w:eastAsia="en-US"/>
        </w:rPr>
      </w:pPr>
      <w:r>
        <w:rPr>
          <w:rFonts w:eastAsia="Calibri"/>
          <w:sz w:val="24"/>
          <w:szCs w:val="20"/>
          <w:lang w:eastAsia="en-US"/>
        </w:rPr>
        <w:t>от_____________2023</w:t>
      </w:r>
      <w:r w:rsidRPr="00380754">
        <w:rPr>
          <w:rFonts w:eastAsia="Calibri"/>
          <w:sz w:val="24"/>
          <w:szCs w:val="20"/>
          <w:lang w:eastAsia="en-US"/>
        </w:rPr>
        <w:t xml:space="preserve">  года №________</w:t>
      </w:r>
    </w:p>
    <w:p w:rsidR="001E6E7F" w:rsidRDefault="001E6E7F" w:rsidP="001E6E7F">
      <w:pPr>
        <w:ind w:right="566"/>
        <w:jc w:val="right"/>
        <w:outlineLvl w:val="1"/>
        <w:rPr>
          <w:rFonts w:eastAsia="Calibri"/>
          <w:sz w:val="24"/>
          <w:szCs w:val="20"/>
          <w:lang w:eastAsia="en-US"/>
        </w:rPr>
      </w:pPr>
    </w:p>
    <w:p w:rsidR="001E6E7F" w:rsidRDefault="001E6E7F" w:rsidP="001E6E7F">
      <w:pPr>
        <w:ind w:right="566"/>
        <w:jc w:val="right"/>
        <w:outlineLvl w:val="1"/>
        <w:rPr>
          <w:rFonts w:eastAsia="Calibri"/>
          <w:sz w:val="24"/>
          <w:szCs w:val="20"/>
          <w:lang w:eastAsia="en-US"/>
        </w:rPr>
      </w:pPr>
    </w:p>
    <w:p w:rsidR="001E6E7F" w:rsidRPr="007113B7" w:rsidRDefault="001E6E7F" w:rsidP="001E6E7F">
      <w:pPr>
        <w:suppressAutoHyphens/>
        <w:spacing w:line="276" w:lineRule="auto"/>
        <w:jc w:val="center"/>
        <w:rPr>
          <w:rFonts w:eastAsia="Calibri"/>
          <w:b/>
          <w:lang w:eastAsia="en-US"/>
        </w:rPr>
      </w:pPr>
      <w:r w:rsidRPr="007113B7">
        <w:rPr>
          <w:rFonts w:eastAsia="Calibri"/>
          <w:b/>
          <w:lang w:eastAsia="en-US"/>
        </w:rPr>
        <w:t xml:space="preserve">Результаты независимой оценки качества условий осуществления образовательной деятельности организациями, осуществляющими образовательную деятельность в 2022 году </w:t>
      </w:r>
    </w:p>
    <w:p w:rsidR="001E6E7F" w:rsidRPr="007113B7" w:rsidRDefault="001E6E7F" w:rsidP="001E6E7F">
      <w:pPr>
        <w:suppressAutoHyphens/>
        <w:spacing w:line="276" w:lineRule="auto"/>
        <w:jc w:val="center"/>
        <w:rPr>
          <w:rFonts w:eastAsia="Calibri"/>
          <w:b/>
          <w:lang w:eastAsia="en-US"/>
        </w:rPr>
      </w:pPr>
      <w:r w:rsidRPr="007113B7">
        <w:rPr>
          <w:rFonts w:eastAsia="Calibri"/>
          <w:b/>
          <w:lang w:eastAsia="en-US"/>
        </w:rPr>
        <w:t>на территории Ленинградской области.</w:t>
      </w:r>
    </w:p>
    <w:p w:rsidR="001E6E7F" w:rsidRPr="007113B7" w:rsidRDefault="001E6E7F" w:rsidP="001E6E7F">
      <w:pPr>
        <w:suppressAutoHyphens/>
        <w:spacing w:line="276" w:lineRule="auto"/>
        <w:rPr>
          <w:rFonts w:eastAsia="Calibri"/>
          <w:b/>
          <w:lang w:eastAsia="en-US"/>
        </w:rPr>
      </w:pPr>
      <w:r w:rsidRPr="007113B7">
        <w:rPr>
          <w:rFonts w:eastAsia="Calibri"/>
          <w:b/>
          <w:lang w:eastAsia="en-US"/>
        </w:rPr>
        <w:t xml:space="preserve">Маркеры: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235"/>
        <w:gridCol w:w="3027"/>
        <w:gridCol w:w="1792"/>
      </w:tblGrid>
      <w:tr w:rsidR="001E6E7F" w:rsidRPr="007113B7" w:rsidTr="00142BFB">
        <w:tc>
          <w:tcPr>
            <w:tcW w:w="2235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0 – 19  баллов</w:t>
            </w:r>
          </w:p>
        </w:tc>
        <w:tc>
          <w:tcPr>
            <w:tcW w:w="3027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Неудовлетворительно</w:t>
            </w:r>
          </w:p>
        </w:tc>
        <w:tc>
          <w:tcPr>
            <w:tcW w:w="1792" w:type="dxa"/>
            <w:shd w:val="clear" w:color="auto" w:fill="FF0000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</w:p>
        </w:tc>
      </w:tr>
      <w:tr w:rsidR="001E6E7F" w:rsidRPr="007113B7" w:rsidTr="00142BFB">
        <w:tc>
          <w:tcPr>
            <w:tcW w:w="2235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20 – 39 баллов</w:t>
            </w:r>
          </w:p>
        </w:tc>
        <w:tc>
          <w:tcPr>
            <w:tcW w:w="3027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Ниже среднего</w:t>
            </w:r>
          </w:p>
        </w:tc>
        <w:tc>
          <w:tcPr>
            <w:tcW w:w="1792" w:type="dxa"/>
            <w:shd w:val="clear" w:color="auto" w:fill="FFC000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</w:p>
        </w:tc>
      </w:tr>
      <w:tr w:rsidR="001E6E7F" w:rsidRPr="007113B7" w:rsidTr="00142BFB">
        <w:tc>
          <w:tcPr>
            <w:tcW w:w="2235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40 – 60 баллов</w:t>
            </w:r>
          </w:p>
        </w:tc>
        <w:tc>
          <w:tcPr>
            <w:tcW w:w="3027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Удовлетворительно</w:t>
            </w:r>
          </w:p>
        </w:tc>
        <w:tc>
          <w:tcPr>
            <w:tcW w:w="1792" w:type="dxa"/>
            <w:shd w:val="clear" w:color="auto" w:fill="FFFF00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</w:p>
        </w:tc>
      </w:tr>
      <w:tr w:rsidR="001E6E7F" w:rsidRPr="007113B7" w:rsidTr="00142BFB">
        <w:tc>
          <w:tcPr>
            <w:tcW w:w="2235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61 – 80 баллов</w:t>
            </w:r>
          </w:p>
        </w:tc>
        <w:tc>
          <w:tcPr>
            <w:tcW w:w="3027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Хорошо</w:t>
            </w:r>
          </w:p>
        </w:tc>
        <w:tc>
          <w:tcPr>
            <w:tcW w:w="1792" w:type="dxa"/>
            <w:shd w:val="clear" w:color="auto" w:fill="92D050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</w:p>
        </w:tc>
      </w:tr>
      <w:tr w:rsidR="001E6E7F" w:rsidRPr="007113B7" w:rsidTr="00142BFB">
        <w:tc>
          <w:tcPr>
            <w:tcW w:w="2235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81 – 100 баллов</w:t>
            </w:r>
          </w:p>
        </w:tc>
        <w:tc>
          <w:tcPr>
            <w:tcW w:w="3027" w:type="dxa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  <w:r w:rsidRPr="007113B7">
              <w:rPr>
                <w:lang w:eastAsia="en-US"/>
              </w:rPr>
              <w:t>Отлично</w:t>
            </w:r>
          </w:p>
        </w:tc>
        <w:tc>
          <w:tcPr>
            <w:tcW w:w="1792" w:type="dxa"/>
            <w:shd w:val="clear" w:color="auto" w:fill="00B050"/>
          </w:tcPr>
          <w:p w:rsidR="001E6E7F" w:rsidRPr="007113B7" w:rsidRDefault="001E6E7F" w:rsidP="00142BFB">
            <w:pPr>
              <w:suppressAutoHyphens/>
              <w:spacing w:line="276" w:lineRule="auto"/>
              <w:rPr>
                <w:lang w:eastAsia="en-US"/>
              </w:rPr>
            </w:pPr>
          </w:p>
        </w:tc>
      </w:tr>
    </w:tbl>
    <w:p w:rsidR="001E6E7F" w:rsidRPr="007113B7" w:rsidRDefault="001E6E7F" w:rsidP="001E6E7F">
      <w:pPr>
        <w:suppressAutoHyphens/>
        <w:spacing w:line="276" w:lineRule="auto"/>
        <w:rPr>
          <w:rFonts w:eastAsia="Calibri"/>
          <w:b/>
          <w:lang w:eastAsia="en-US"/>
        </w:rPr>
      </w:pPr>
    </w:p>
    <w:p w:rsidR="001E6E7F" w:rsidRPr="007113B7" w:rsidRDefault="001E6E7F" w:rsidP="001E6E7F">
      <w:pPr>
        <w:numPr>
          <w:ilvl w:val="0"/>
          <w:numId w:val="2"/>
        </w:numPr>
        <w:suppressAutoHyphens/>
        <w:spacing w:line="276" w:lineRule="auto"/>
        <w:contextualSpacing/>
        <w:rPr>
          <w:rFonts w:eastAsia="Calibri"/>
          <w:b/>
          <w:lang w:eastAsia="en-US"/>
        </w:rPr>
      </w:pPr>
      <w:r w:rsidRPr="007113B7">
        <w:rPr>
          <w:rFonts w:eastAsia="Calibri"/>
          <w:b/>
          <w:lang w:eastAsia="en-US"/>
        </w:rPr>
        <w:t>Образовательные организации ШНОР (школы с низкими результатами обучения)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1701"/>
        <w:gridCol w:w="1418"/>
        <w:gridCol w:w="2268"/>
        <w:gridCol w:w="2126"/>
        <w:gridCol w:w="1843"/>
      </w:tblGrid>
      <w:tr w:rsidR="001E6E7F" w:rsidRPr="007113B7" w:rsidTr="00142BFB">
        <w:trPr>
          <w:trHeight w:val="1620"/>
        </w:trPr>
        <w:tc>
          <w:tcPr>
            <w:tcW w:w="567" w:type="dxa"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1. Критерий «Открытость и доступность информации об организации»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2. Критерий «Комфортность условий предоставления услуг»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3. Критерий «Доступность услуг для инвалидов»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4. Критерий «Доброжелательность, вежливость работников организации»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5. Критерий «Удовлетворенность условиями оказания услуг»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Средневзвешенная сумма по всем критериям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Будогощская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92,74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90,37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87,16</w:t>
            </w:r>
          </w:p>
        </w:tc>
        <w:tc>
          <w:tcPr>
            <w:tcW w:w="2126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77,78</w:t>
            </w:r>
          </w:p>
        </w:tc>
        <w:tc>
          <w:tcPr>
            <w:tcW w:w="1843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80,41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Винницкая средняя общеобразовательная школа-интернат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95,23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88,36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91,23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90,96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88,76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Вознесенский образовательный центр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97,79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99,38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91,83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Гарболовская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96,23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94,88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94,94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95,17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95,04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Глажевская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100,16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90,77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94,73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93,69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89,07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Загривская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97,32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99,46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90,16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Ивангородская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 №1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98,78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91,29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94,39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93,71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90,83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 xml:space="preserve">Ильинская основная 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общеобразоватеьная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91,40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Киришская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 №3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95,70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86,60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66,29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93,80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89,48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86,37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Кобраловская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99,84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90,91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94,46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91,01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91,64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Колтушская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общеобразвоательная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88,71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98,85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92,97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85,45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92,55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Красноборская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97,39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97,92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95,71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98,45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97,59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Кузьмоловская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общеобразвоательная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школа №1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87,70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96,35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98,91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93,69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Лебяженский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общего образования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101,07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Лесогорская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100,63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97,58</w:t>
            </w:r>
          </w:p>
        </w:tc>
        <w:tc>
          <w:tcPr>
            <w:tcW w:w="1418" w:type="dxa"/>
            <w:shd w:val="clear" w:color="auto" w:fill="FFC0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99,03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96,13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86,47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Никольская основная общеобразовательная школа №9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99,40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99,04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94,10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93,69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Осьминская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92,62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Подпорожская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 №1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94,24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95,26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94,01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91,84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Подпорожская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 №4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83,75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Пчевская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91,20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89,29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94,39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93,04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86,78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Рощинский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образования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84,96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73,79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85,52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81,90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84,73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Лесновский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образования»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100,16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97,76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99,33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Токсовский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образования»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88,89</w:t>
            </w:r>
          </w:p>
        </w:tc>
        <w:tc>
          <w:tcPr>
            <w:tcW w:w="1701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79,87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58,86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90,83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85,29</w:t>
            </w:r>
          </w:p>
        </w:tc>
        <w:tc>
          <w:tcPr>
            <w:tcW w:w="1843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80,75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№1 г. Сосновый Бор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100,38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94,02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96,78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94,70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90,43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 xml:space="preserve">Средняя общеобразовательная школа №1 г. 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Пикалёво</w:t>
            </w:r>
            <w:proofErr w:type="spellEnd"/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92,58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95,59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97,42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89,97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№14 г. Выборг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99,04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92,68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90,67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96,91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95,65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94,99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 xml:space="preserve">Средняя общеобразовательная школа №2 г. Сосновый Бор 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93,66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88,20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74,25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94,69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91,12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88,38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№3 г. Сосновый Бор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99,62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89,12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97,45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93,97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89,63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№8 г. Выборг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92,05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87,21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71,82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91,70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89,97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86,55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 xml:space="preserve">Средняя общеобразовательная школа №9 г. Сосновый Бор 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88,18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59,43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95,96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92,41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86,68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Старопольская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94,35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96,30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59,00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97,04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94,44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88,23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Федоровская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95,43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72,42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96,26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91,80</w:t>
            </w:r>
          </w:p>
        </w:tc>
      </w:tr>
      <w:tr w:rsidR="001E6E7F" w:rsidRPr="007113B7" w:rsidTr="00142BFB">
        <w:trPr>
          <w:trHeight w:val="255"/>
        </w:trPr>
        <w:tc>
          <w:tcPr>
            <w:tcW w:w="567" w:type="dxa"/>
          </w:tcPr>
          <w:p w:rsidR="001E6E7F" w:rsidRPr="007113B7" w:rsidRDefault="001E6E7F" w:rsidP="001E6E7F">
            <w:pPr>
              <w:numPr>
                <w:ilvl w:val="0"/>
                <w:numId w:val="1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Шумская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100,61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99,11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96,91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98,57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89,44</w:t>
            </w:r>
          </w:p>
        </w:tc>
      </w:tr>
    </w:tbl>
    <w:p w:rsidR="001E6E7F" w:rsidRPr="007113B7" w:rsidRDefault="001E6E7F" w:rsidP="001E6E7F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1E6E7F" w:rsidRPr="007113B7" w:rsidRDefault="001E6E7F" w:rsidP="001E6E7F">
      <w:pPr>
        <w:numPr>
          <w:ilvl w:val="0"/>
          <w:numId w:val="2"/>
        </w:numPr>
        <w:suppressAutoHyphens/>
        <w:spacing w:line="276" w:lineRule="auto"/>
        <w:contextualSpacing/>
        <w:rPr>
          <w:b/>
          <w:szCs w:val="24"/>
          <w:lang w:eastAsia="ar-SA"/>
        </w:rPr>
      </w:pPr>
      <w:r w:rsidRPr="007113B7">
        <w:rPr>
          <w:b/>
          <w:szCs w:val="24"/>
          <w:lang w:eastAsia="ar-SA"/>
        </w:rPr>
        <w:t xml:space="preserve">Образовательные организации ШФНСУ </w:t>
      </w:r>
    </w:p>
    <w:p w:rsidR="001E6E7F" w:rsidRPr="007113B7" w:rsidRDefault="001E6E7F" w:rsidP="001E6E7F">
      <w:pPr>
        <w:suppressAutoHyphens/>
        <w:spacing w:line="276" w:lineRule="auto"/>
        <w:ind w:left="360"/>
        <w:rPr>
          <w:b/>
          <w:szCs w:val="24"/>
          <w:lang w:eastAsia="ar-SA"/>
        </w:rPr>
      </w:pPr>
      <w:r w:rsidRPr="007113B7">
        <w:rPr>
          <w:b/>
          <w:szCs w:val="24"/>
          <w:lang w:eastAsia="ar-SA"/>
        </w:rPr>
        <w:t>(школы, функционирующие в неблагоприятных социальных условиях)</w:t>
      </w:r>
    </w:p>
    <w:p w:rsidR="001E6E7F" w:rsidRPr="007113B7" w:rsidRDefault="001E6E7F" w:rsidP="001E6E7F">
      <w:pPr>
        <w:suppressAutoHyphens/>
        <w:spacing w:line="276" w:lineRule="auto"/>
        <w:ind w:left="360"/>
        <w:rPr>
          <w:b/>
          <w:szCs w:val="24"/>
          <w:lang w:eastAsia="ar-SA"/>
        </w:rPr>
      </w:pPr>
    </w:p>
    <w:tbl>
      <w:tblPr>
        <w:tblW w:w="16302" w:type="dxa"/>
        <w:tblInd w:w="-601" w:type="dxa"/>
        <w:tblLook w:val="04A0" w:firstRow="1" w:lastRow="0" w:firstColumn="1" w:lastColumn="0" w:noHBand="0" w:noVBand="1"/>
      </w:tblPr>
      <w:tblGrid>
        <w:gridCol w:w="425"/>
        <w:gridCol w:w="4962"/>
        <w:gridCol w:w="1559"/>
        <w:gridCol w:w="1701"/>
        <w:gridCol w:w="1418"/>
        <w:gridCol w:w="2268"/>
        <w:gridCol w:w="2126"/>
        <w:gridCol w:w="1843"/>
      </w:tblGrid>
      <w:tr w:rsidR="001E6E7F" w:rsidRPr="007113B7" w:rsidTr="00142BFB">
        <w:trPr>
          <w:trHeight w:val="16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1. Критерий «Открытость и доступность информации об организации»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2. Критерий «Комфортность условий предоставления услуг»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3. Критерий «Доступность услуг для инвалидов»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4. Критерий «Доброжелательность, вежливость работников организации»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5. Критерий «Удовлетворенность условиями оказания услуг»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Средневзвешенная сумма по всем критериям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Андреевская основная общеобразовательная школа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90,30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Большеижорская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94,97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Вырицкая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 №1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87,34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Выскатская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93,33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Высокоключевая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87,69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Ганьковская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88,50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Гатчинская средняя общеобразовательная школа №11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90,35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Гатчинская средняя общеобразовательная школа №7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93,09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Елизаветинская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83,08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Ерёминогорская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93,19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Заборьевская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85,59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Загорская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начальная школа-детский сад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93,00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Кобринская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95,59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Коськовская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89,49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Кракольская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95,19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Красавская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95,30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Мшинская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92,28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Оредежская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91,80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Основная общеобразовательная школа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Форносовский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75,71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89,50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Подборовская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86,48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Пустомержская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97,90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Разметелевская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89,64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Русско-Высоцкая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38,83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78,72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Рябовская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Саблинская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Сиверская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86,28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Агалатовский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93,53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Средняя общеобразовательная школа п. Ефимовский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84,27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 xml:space="preserve">Средняя 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общеобразоватльеная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школа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Лесколовский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центр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93,98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Сусанинская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91,89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Суховская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90,30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Таицкая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91,66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Ушакинская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50,67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88,71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Фалилеевская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основная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87,19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Шугозерская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средныяя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90,19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Щегловская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88,90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7F" w:rsidRPr="007113B7" w:rsidRDefault="001E6E7F" w:rsidP="001E6E7F">
            <w:pPr>
              <w:numPr>
                <w:ilvl w:val="0"/>
                <w:numId w:val="3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113B7">
              <w:rPr>
                <w:color w:val="000000"/>
                <w:sz w:val="20"/>
                <w:szCs w:val="20"/>
              </w:rPr>
              <w:t>Яльгелевский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образовательный центр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94,59</w:t>
            </w:r>
          </w:p>
        </w:tc>
      </w:tr>
    </w:tbl>
    <w:p w:rsidR="001E6E7F" w:rsidRPr="007113B7" w:rsidRDefault="001E6E7F" w:rsidP="001E6E7F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1E6E7F" w:rsidRPr="007113B7" w:rsidRDefault="001E6E7F" w:rsidP="001E6E7F">
      <w:pPr>
        <w:numPr>
          <w:ilvl w:val="0"/>
          <w:numId w:val="2"/>
        </w:numPr>
        <w:suppressAutoHyphens/>
        <w:spacing w:line="276" w:lineRule="auto"/>
        <w:contextualSpacing/>
        <w:rPr>
          <w:b/>
          <w:szCs w:val="24"/>
          <w:lang w:eastAsia="ar-SA"/>
        </w:rPr>
      </w:pPr>
      <w:r w:rsidRPr="007113B7">
        <w:rPr>
          <w:b/>
          <w:szCs w:val="24"/>
          <w:lang w:eastAsia="ar-SA"/>
        </w:rPr>
        <w:t>Профессиональные образовательные организации (СПО)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962"/>
        <w:gridCol w:w="1559"/>
        <w:gridCol w:w="1701"/>
        <w:gridCol w:w="1418"/>
        <w:gridCol w:w="2268"/>
        <w:gridCol w:w="2126"/>
        <w:gridCol w:w="1843"/>
      </w:tblGrid>
      <w:tr w:rsidR="001E6E7F" w:rsidRPr="007113B7" w:rsidTr="00142BFB">
        <w:trPr>
          <w:trHeight w:val="1620"/>
        </w:trPr>
        <w:tc>
          <w:tcPr>
            <w:tcW w:w="425" w:type="dxa"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1559" w:type="dxa"/>
            <w:shd w:val="clear" w:color="auto" w:fill="auto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1. Критерий «Открытость и доступность информации об организации»</w:t>
            </w:r>
          </w:p>
        </w:tc>
        <w:tc>
          <w:tcPr>
            <w:tcW w:w="1701" w:type="dxa"/>
            <w:shd w:val="clear" w:color="auto" w:fill="auto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2. Критерий «Комфортность условий предоставления услуг»</w:t>
            </w:r>
          </w:p>
        </w:tc>
        <w:tc>
          <w:tcPr>
            <w:tcW w:w="1418" w:type="dxa"/>
            <w:shd w:val="clear" w:color="auto" w:fill="auto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3. Критерий «Доступность услуг для инвалидов»</w:t>
            </w:r>
          </w:p>
        </w:tc>
        <w:tc>
          <w:tcPr>
            <w:tcW w:w="2268" w:type="dxa"/>
            <w:shd w:val="clear" w:color="auto" w:fill="auto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4. Критерий "Доброжелательность, вежливость работников организации"</w:t>
            </w:r>
          </w:p>
        </w:tc>
        <w:tc>
          <w:tcPr>
            <w:tcW w:w="2126" w:type="dxa"/>
            <w:shd w:val="clear" w:color="auto" w:fill="auto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5. Критерий "Удовлетворенность условиями оказания услуг"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Средневзвешенная сумма по всем критериям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Максимум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Бегуницкий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агротехнологический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97,36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91,84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83,86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90,38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91,09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Беседский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97,93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98,47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98,85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98,03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97,89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98,23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ГАОУ «Борский агропромышленный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83,78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94,54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94,25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93,17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Волховский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многопрофильный техникум» 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87,18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93,51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63,14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94,41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87,04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«Всеволожский агропромышленный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94,32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99,15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89,71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98,57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99,23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96,20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«Выборгский политехнический колледж «Александровский»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96,05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99,67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88,67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99,87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99,67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96,78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«Выборгский техникум агропромышленного и лесного комплекса»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96,13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98,21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95,00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96,96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«Гатчинский педагогический колледж» 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97,47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95,43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62,67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97,60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96,32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89,90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ЧПОУ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Ивангородский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гуманитарно-технический колледж»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81,61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85,88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56,00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94,24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88,10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81,17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Кингисеппский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колледж технологии и сервиса»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95,66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92,92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92,82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89,84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90,25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«Киришский политехнический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95,57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98,90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97,66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«Кировский политехнический техникум» 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98,28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96,58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96,04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90,25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Лисинский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лесной колледж»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95,44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84,94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82,25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87,34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82,20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86,43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Лодейнопольский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техникум промышленных технологий»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99,80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99,42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99,15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Лужский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агропромышленный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99,36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94,74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96,87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95,26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92,25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«Мичуринский многопрофильный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94,67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94,48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96,43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94,68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92,81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94,61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Подпорожский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политехнический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93,01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95,92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95,59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94,19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«Политехнический  колледж» г. Светогорска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97,38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92,98</w:t>
            </w:r>
          </w:p>
        </w:tc>
        <w:tc>
          <w:tcPr>
            <w:tcW w:w="1418" w:type="dxa"/>
            <w:shd w:val="clear" w:color="auto" w:fill="FFC0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92,55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92,63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82,11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«Приозерский политехнический колледж»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98,18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88,59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86,13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92,48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89,67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91,01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ФКПОУ «Сиверский техникум-интернат бухгалтеров»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99,13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94,53</w:t>
            </w:r>
          </w:p>
        </w:tc>
        <w:tc>
          <w:tcPr>
            <w:tcW w:w="1418" w:type="dxa"/>
            <w:shd w:val="clear" w:color="auto" w:fill="FFFF0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59,19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92,73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92,03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87,52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Сланцевский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индустриальный техникум» 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98,67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95,87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95,71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89,92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94,43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Сосновоборский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политехнический колледж»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92,08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91,33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90,47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96,29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91,50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92,33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«Техникум водного транспорта»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96,07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93,66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94,92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94,69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95,87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ГАПОУ «Тихвинский промышленно-технологический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98,48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93,23</w:t>
            </w:r>
          </w:p>
        </w:tc>
        <w:tc>
          <w:tcPr>
            <w:tcW w:w="141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97,63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96,46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96,62</w:t>
            </w:r>
          </w:p>
        </w:tc>
      </w:tr>
      <w:tr w:rsidR="001E6E7F" w:rsidRPr="007113B7" w:rsidTr="00142BFB">
        <w:trPr>
          <w:trHeight w:val="255"/>
        </w:trPr>
        <w:tc>
          <w:tcPr>
            <w:tcW w:w="425" w:type="dxa"/>
          </w:tcPr>
          <w:p w:rsidR="001E6E7F" w:rsidRPr="007113B7" w:rsidRDefault="001E6E7F" w:rsidP="001E6E7F">
            <w:pPr>
              <w:numPr>
                <w:ilvl w:val="0"/>
                <w:numId w:val="4"/>
              </w:numPr>
              <w:suppressAutoHyphens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1E6E7F" w:rsidRPr="007113B7" w:rsidRDefault="001E6E7F" w:rsidP="00142BFB">
            <w:pPr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ГБПОУ «</w:t>
            </w:r>
            <w:proofErr w:type="spellStart"/>
            <w:r w:rsidRPr="007113B7">
              <w:rPr>
                <w:color w:val="000000"/>
                <w:sz w:val="20"/>
                <w:szCs w:val="20"/>
              </w:rPr>
              <w:t>Тосненский</w:t>
            </w:r>
            <w:proofErr w:type="spellEnd"/>
            <w:r w:rsidRPr="007113B7">
              <w:rPr>
                <w:color w:val="000000"/>
                <w:sz w:val="20"/>
                <w:szCs w:val="20"/>
              </w:rPr>
              <w:t xml:space="preserve"> политехнический техникум»</w:t>
            </w:r>
          </w:p>
        </w:tc>
        <w:tc>
          <w:tcPr>
            <w:tcW w:w="1559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96,58</w:t>
            </w:r>
          </w:p>
        </w:tc>
        <w:tc>
          <w:tcPr>
            <w:tcW w:w="1701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95,95</w:t>
            </w:r>
          </w:p>
        </w:tc>
        <w:tc>
          <w:tcPr>
            <w:tcW w:w="1418" w:type="dxa"/>
            <w:shd w:val="clear" w:color="auto" w:fill="92D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62,54</w:t>
            </w:r>
          </w:p>
        </w:tc>
        <w:tc>
          <w:tcPr>
            <w:tcW w:w="2268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95,26</w:t>
            </w:r>
          </w:p>
        </w:tc>
        <w:tc>
          <w:tcPr>
            <w:tcW w:w="2126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92,13</w:t>
            </w:r>
          </w:p>
        </w:tc>
        <w:tc>
          <w:tcPr>
            <w:tcW w:w="1843" w:type="dxa"/>
            <w:shd w:val="clear" w:color="auto" w:fill="00B050"/>
            <w:vAlign w:val="center"/>
            <w:hideMark/>
          </w:tcPr>
          <w:p w:rsidR="001E6E7F" w:rsidRPr="007113B7" w:rsidRDefault="001E6E7F" w:rsidP="00142BFB">
            <w:pPr>
              <w:jc w:val="center"/>
              <w:rPr>
                <w:color w:val="000000"/>
                <w:sz w:val="20"/>
                <w:szCs w:val="20"/>
              </w:rPr>
            </w:pPr>
            <w:r w:rsidRPr="007113B7">
              <w:rPr>
                <w:color w:val="000000"/>
                <w:sz w:val="20"/>
                <w:szCs w:val="20"/>
              </w:rPr>
              <w:t>88,49</w:t>
            </w:r>
          </w:p>
        </w:tc>
      </w:tr>
    </w:tbl>
    <w:p w:rsidR="001E6E7F" w:rsidRPr="007113B7" w:rsidRDefault="001E6E7F" w:rsidP="001E6E7F">
      <w:pPr>
        <w:suppressAutoHyphens/>
        <w:spacing w:line="276" w:lineRule="auto"/>
        <w:rPr>
          <w:sz w:val="24"/>
          <w:szCs w:val="24"/>
          <w:lang w:eastAsia="ar-SA"/>
        </w:rPr>
      </w:pPr>
    </w:p>
    <w:p w:rsidR="00356B9A" w:rsidRDefault="00EF7ADF"/>
    <w:sectPr w:rsidR="00356B9A" w:rsidSect="001E6E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16DA"/>
    <w:multiLevelType w:val="hybridMultilevel"/>
    <w:tmpl w:val="C0D67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1A11F8"/>
    <w:multiLevelType w:val="hybridMultilevel"/>
    <w:tmpl w:val="07B4FE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351FE7"/>
    <w:multiLevelType w:val="hybridMultilevel"/>
    <w:tmpl w:val="346A2A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D53CF"/>
    <w:multiLevelType w:val="hybridMultilevel"/>
    <w:tmpl w:val="45E4B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7F"/>
    <w:rsid w:val="001E6E7F"/>
    <w:rsid w:val="00201E9D"/>
    <w:rsid w:val="00EE4EA4"/>
    <w:rsid w:val="00E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EB2B9-0E30-46B7-9BF3-9F614098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1E6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4"/>
    <w:uiPriority w:val="59"/>
    <w:rsid w:val="001E6E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E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 Атанова</dc:creator>
  <cp:lastModifiedBy>User PC</cp:lastModifiedBy>
  <cp:revision>2</cp:revision>
  <dcterms:created xsi:type="dcterms:W3CDTF">2023-10-25T13:53:00Z</dcterms:created>
  <dcterms:modified xsi:type="dcterms:W3CDTF">2023-10-25T13:53:00Z</dcterms:modified>
</cp:coreProperties>
</file>